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5CC7" w14:textId="45166BF7" w:rsidR="00973A1C" w:rsidRPr="00E06E1F" w:rsidRDefault="00973A1C" w:rsidP="00E06E1F">
      <w:pPr>
        <w:jc w:val="center"/>
        <w:rPr>
          <w:rFonts w:ascii="Arial" w:hAnsi="Arial" w:cs="Arial"/>
          <w:sz w:val="28"/>
          <w:szCs w:val="28"/>
        </w:rPr>
      </w:pPr>
      <w:r w:rsidRPr="00E06E1F">
        <w:rPr>
          <w:rFonts w:ascii="Arial" w:hAnsi="Arial" w:cs="Arial"/>
          <w:sz w:val="28"/>
          <w:szCs w:val="28"/>
        </w:rPr>
        <w:t>CONSENT ORDER OF COURT</w:t>
      </w:r>
      <w:r w:rsidR="00E06E1F" w:rsidRPr="00E06E1F">
        <w:rPr>
          <w:rFonts w:ascii="Arial" w:hAnsi="Arial" w:cs="Arial"/>
          <w:sz w:val="28"/>
          <w:szCs w:val="28"/>
        </w:rPr>
        <w:t xml:space="preserve"> </w:t>
      </w:r>
      <w:r w:rsidRPr="00E06E1F">
        <w:rPr>
          <w:rFonts w:ascii="Arial" w:hAnsi="Arial" w:cs="Arial"/>
          <w:sz w:val="28"/>
          <w:szCs w:val="28"/>
        </w:rPr>
        <w:t>INSTRUCTION SHEET</w:t>
      </w:r>
    </w:p>
    <w:p w14:paraId="6BC8A83B" w14:textId="106B51D6" w:rsidR="00973A1C" w:rsidRPr="00E06E1F" w:rsidRDefault="00973A1C" w:rsidP="00973A1C">
      <w:p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Page 1</w:t>
      </w:r>
    </w:p>
    <w:p w14:paraId="002F4B40" w14:textId="631B4138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Plaintiff’s name</w:t>
      </w:r>
    </w:p>
    <w:p w14:paraId="02FBA548" w14:textId="617A7B38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Defendant’s name</w:t>
      </w:r>
    </w:p>
    <w:p w14:paraId="6E0A2834" w14:textId="2752FA09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Order Number = case file number (Example: </w:t>
      </w:r>
      <w:r w:rsidR="00E06E1F" w:rsidRPr="00E06E1F">
        <w:rPr>
          <w:rFonts w:ascii="Arial" w:hAnsi="Arial" w:cs="Arial"/>
          <w:sz w:val="24"/>
          <w:szCs w:val="24"/>
        </w:rPr>
        <w:t>23</w:t>
      </w:r>
      <w:r w:rsidRPr="00E06E1F">
        <w:rPr>
          <w:rFonts w:ascii="Arial" w:hAnsi="Arial" w:cs="Arial"/>
          <w:sz w:val="24"/>
          <w:szCs w:val="24"/>
        </w:rPr>
        <w:t>-00001)</w:t>
      </w:r>
    </w:p>
    <w:p w14:paraId="5EDAD639" w14:textId="0759287A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PACSES assigned number (Can be obtained from Family Division paperwork)</w:t>
      </w:r>
    </w:p>
    <w:p w14:paraId="02728C91" w14:textId="3DF82757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Docket Number = case file number (Example: </w:t>
      </w:r>
      <w:r w:rsidR="00E06E1F" w:rsidRPr="00E06E1F">
        <w:rPr>
          <w:rFonts w:ascii="Arial" w:hAnsi="Arial" w:cs="Arial"/>
          <w:sz w:val="24"/>
          <w:szCs w:val="24"/>
        </w:rPr>
        <w:t>23</w:t>
      </w:r>
      <w:r w:rsidRPr="00E06E1F">
        <w:rPr>
          <w:rFonts w:ascii="Arial" w:hAnsi="Arial" w:cs="Arial"/>
          <w:sz w:val="24"/>
          <w:szCs w:val="24"/>
        </w:rPr>
        <w:t>-00001)</w:t>
      </w:r>
    </w:p>
    <w:p w14:paraId="2A45A3DA" w14:textId="4E713CA7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Other State ID Number = (Can be obtained from FD paperwork, if applicable) </w:t>
      </w:r>
    </w:p>
    <w:p w14:paraId="6930B7F8" w14:textId="50DB5B3C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Mark an “X” in the appropriate square</w:t>
      </w:r>
    </w:p>
    <w:p w14:paraId="0A47FF84" w14:textId="2C4C20FB" w:rsidR="00973A1C" w:rsidRPr="00E06E1F" w:rsidRDefault="009963B9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Leave blank for Family Division to complete</w:t>
      </w:r>
    </w:p>
    <w:p w14:paraId="023B2BAE" w14:textId="3473686F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Plaintiff’s monthly net income on which the order is based (Example: $1,295.50)</w:t>
      </w:r>
    </w:p>
    <w:p w14:paraId="4A7A3567" w14:textId="65487B3A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Defendant’s monthly net income on which the order is based (Example: $1,516.10)</w:t>
      </w:r>
    </w:p>
    <w:p w14:paraId="28AC47EC" w14:textId="2DDFFC78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Annualized Periodic Amount </w:t>
      </w:r>
      <w:r w:rsidR="00E06E1F" w:rsidRPr="00E06E1F">
        <w:rPr>
          <w:rFonts w:ascii="Arial" w:hAnsi="Arial" w:cs="Arial"/>
          <w:sz w:val="24"/>
          <w:szCs w:val="24"/>
        </w:rPr>
        <w:t xml:space="preserve">= </w:t>
      </w:r>
      <w:r w:rsidRPr="00E06E1F">
        <w:rPr>
          <w:rFonts w:ascii="Arial" w:hAnsi="Arial" w:cs="Arial"/>
          <w:sz w:val="24"/>
          <w:szCs w:val="24"/>
        </w:rPr>
        <w:t xml:space="preserve">monthly support payment + monthly arrears payment </w:t>
      </w:r>
      <w:r w:rsidR="00E06E1F" w:rsidRPr="00E06E1F">
        <w:rPr>
          <w:rFonts w:ascii="Arial" w:hAnsi="Arial" w:cs="Arial"/>
          <w:sz w:val="24"/>
          <w:szCs w:val="24"/>
        </w:rPr>
        <w:t xml:space="preserve">(arrears payment must be at least 10% of the Annualized Periodic Amount) </w:t>
      </w:r>
      <w:r w:rsidRPr="00E06E1F">
        <w:rPr>
          <w:rFonts w:ascii="Arial" w:hAnsi="Arial" w:cs="Arial"/>
          <w:sz w:val="24"/>
          <w:szCs w:val="24"/>
        </w:rPr>
        <w:t xml:space="preserve">(Example: </w:t>
      </w:r>
      <w:r w:rsidR="00E06E1F" w:rsidRPr="00E06E1F">
        <w:rPr>
          <w:rFonts w:ascii="Arial" w:hAnsi="Arial" w:cs="Arial"/>
          <w:sz w:val="24"/>
          <w:szCs w:val="24"/>
        </w:rPr>
        <w:t>Two Hundred Thirty</w:t>
      </w:r>
      <w:r w:rsidRPr="00E06E1F">
        <w:rPr>
          <w:rFonts w:ascii="Arial" w:hAnsi="Arial" w:cs="Arial"/>
          <w:sz w:val="24"/>
          <w:szCs w:val="24"/>
        </w:rPr>
        <w:t>)</w:t>
      </w:r>
    </w:p>
    <w:p w14:paraId="37648355" w14:textId="48FA0B23" w:rsidR="00973A1C" w:rsidRPr="00E06E1F" w:rsidRDefault="00973A1C" w:rsidP="00E06E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Annualized Periodic Amount </w:t>
      </w:r>
      <w:r w:rsidR="00E06E1F" w:rsidRPr="00E06E1F">
        <w:rPr>
          <w:rFonts w:ascii="Arial" w:hAnsi="Arial" w:cs="Arial"/>
          <w:sz w:val="24"/>
          <w:szCs w:val="24"/>
        </w:rPr>
        <w:t xml:space="preserve">= </w:t>
      </w:r>
      <w:r w:rsidRPr="00E06E1F">
        <w:rPr>
          <w:rFonts w:ascii="Arial" w:hAnsi="Arial" w:cs="Arial"/>
          <w:sz w:val="24"/>
          <w:szCs w:val="24"/>
        </w:rPr>
        <w:t>monthly support amount + monthly arrears payment (Example: $230.00)</w:t>
      </w:r>
    </w:p>
    <w:p w14:paraId="4FB234EC" w14:textId="04E56149" w:rsidR="00973A1C" w:rsidRPr="00E06E1F" w:rsidRDefault="00E06E1F" w:rsidP="00E06E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Date payment is due = </w:t>
      </w:r>
      <w:r w:rsidR="00973A1C" w:rsidRPr="00E06E1F">
        <w:rPr>
          <w:rFonts w:ascii="Arial" w:hAnsi="Arial" w:cs="Arial"/>
          <w:sz w:val="24"/>
          <w:szCs w:val="24"/>
        </w:rPr>
        <w:t>If the date of the order is other than the 1</w:t>
      </w:r>
      <w:r w:rsidR="00973A1C" w:rsidRPr="00E06E1F">
        <w:rPr>
          <w:rFonts w:ascii="Arial" w:hAnsi="Arial" w:cs="Arial"/>
          <w:sz w:val="24"/>
          <w:szCs w:val="24"/>
          <w:vertAlign w:val="superscript"/>
        </w:rPr>
        <w:t>st</w:t>
      </w:r>
      <w:r w:rsidR="00973A1C" w:rsidRPr="00E06E1F">
        <w:rPr>
          <w:rFonts w:ascii="Arial" w:hAnsi="Arial" w:cs="Arial"/>
          <w:sz w:val="24"/>
          <w:szCs w:val="24"/>
        </w:rPr>
        <w:t xml:space="preserve"> of the month, the first payment is due on the 1</w:t>
      </w:r>
      <w:r w:rsidR="00973A1C" w:rsidRPr="00E06E1F">
        <w:rPr>
          <w:rFonts w:ascii="Arial" w:hAnsi="Arial" w:cs="Arial"/>
          <w:sz w:val="24"/>
          <w:szCs w:val="24"/>
          <w:vertAlign w:val="superscript"/>
        </w:rPr>
        <w:t>st</w:t>
      </w:r>
      <w:r w:rsidR="00973A1C" w:rsidRPr="00E06E1F">
        <w:rPr>
          <w:rFonts w:ascii="Arial" w:hAnsi="Arial" w:cs="Arial"/>
          <w:sz w:val="24"/>
          <w:szCs w:val="24"/>
        </w:rPr>
        <w:t xml:space="preserve"> of the month following the date of the order and on the 1</w:t>
      </w:r>
      <w:r w:rsidR="00973A1C" w:rsidRPr="00E06E1F">
        <w:rPr>
          <w:rFonts w:ascii="Arial" w:hAnsi="Arial" w:cs="Arial"/>
          <w:sz w:val="24"/>
          <w:szCs w:val="24"/>
          <w:vertAlign w:val="superscript"/>
        </w:rPr>
        <w:t>st</w:t>
      </w:r>
      <w:r w:rsidR="00973A1C" w:rsidRPr="00E06E1F">
        <w:rPr>
          <w:rFonts w:ascii="Arial" w:hAnsi="Arial" w:cs="Arial"/>
          <w:sz w:val="24"/>
          <w:szCs w:val="24"/>
        </w:rPr>
        <w:t xml:space="preserve"> of each and every month thereafter. If the order is dated the first of the month, the first payment is due on that date and on the 1</w:t>
      </w:r>
      <w:r w:rsidR="00973A1C" w:rsidRPr="00E06E1F">
        <w:rPr>
          <w:rFonts w:ascii="Arial" w:hAnsi="Arial" w:cs="Arial"/>
          <w:sz w:val="24"/>
          <w:szCs w:val="24"/>
          <w:vertAlign w:val="superscript"/>
        </w:rPr>
        <w:t>st</w:t>
      </w:r>
      <w:r w:rsidR="00973A1C" w:rsidRPr="00E06E1F">
        <w:rPr>
          <w:rFonts w:ascii="Arial" w:hAnsi="Arial" w:cs="Arial"/>
          <w:sz w:val="24"/>
          <w:szCs w:val="24"/>
        </w:rPr>
        <w:t xml:space="preserve"> of each and every month thereafter.</w:t>
      </w:r>
    </w:p>
    <w:p w14:paraId="39534F08" w14:textId="58C547A3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Retroactivity date (Generally the date the complaint for support or petition for modification was filed.)</w:t>
      </w:r>
    </w:p>
    <w:p w14:paraId="235A2743" w14:textId="623D4207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Dollar amount </w:t>
      </w:r>
      <w:r w:rsidR="009963B9">
        <w:rPr>
          <w:rFonts w:ascii="Arial" w:hAnsi="Arial" w:cs="Arial"/>
          <w:sz w:val="24"/>
          <w:szCs w:val="24"/>
        </w:rPr>
        <w:t xml:space="preserve">of </w:t>
      </w:r>
      <w:r w:rsidRPr="00E06E1F">
        <w:rPr>
          <w:rFonts w:ascii="Arial" w:hAnsi="Arial" w:cs="Arial"/>
          <w:sz w:val="24"/>
          <w:szCs w:val="24"/>
        </w:rPr>
        <w:t xml:space="preserve">arrears (Example: $1,569.00) if left blank, </w:t>
      </w:r>
      <w:r w:rsidR="009963B9">
        <w:rPr>
          <w:rFonts w:ascii="Arial" w:hAnsi="Arial" w:cs="Arial"/>
          <w:sz w:val="24"/>
          <w:szCs w:val="24"/>
        </w:rPr>
        <w:t xml:space="preserve">the order must state Arrears to be set by PACSES in the Other Conditions (28). </w:t>
      </w:r>
    </w:p>
    <w:p w14:paraId="770701A6" w14:textId="0BFBBF5F" w:rsidR="00973A1C" w:rsidRPr="00E06E1F" w:rsidRDefault="00973A1C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Date arrears are to be set as of. Enter day if parties/attorneys are setting arrears or leave blan</w:t>
      </w:r>
      <w:r w:rsidR="008D4180" w:rsidRPr="00E06E1F">
        <w:rPr>
          <w:rFonts w:ascii="Arial" w:hAnsi="Arial" w:cs="Arial"/>
          <w:sz w:val="24"/>
          <w:szCs w:val="24"/>
        </w:rPr>
        <w:t>k if parties/attorneys agree to have PACSES set case balance.</w:t>
      </w:r>
    </w:p>
    <w:p w14:paraId="2C7DEA0C" w14:textId="2CB169DF" w:rsidR="008D4180" w:rsidRPr="00E06E1F" w:rsidRDefault="008D4180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Child (ren)’s</w:t>
      </w:r>
      <w:r w:rsidR="00DA375D">
        <w:rPr>
          <w:rFonts w:ascii="Arial" w:hAnsi="Arial" w:cs="Arial"/>
          <w:sz w:val="24"/>
          <w:szCs w:val="24"/>
        </w:rPr>
        <w:t xml:space="preserve"> and/or Spouse’s</w:t>
      </w:r>
      <w:r w:rsidRPr="00E06E1F">
        <w:rPr>
          <w:rFonts w:ascii="Arial" w:hAnsi="Arial" w:cs="Arial"/>
          <w:sz w:val="24"/>
          <w:szCs w:val="24"/>
        </w:rPr>
        <w:t xml:space="preserve"> full name</w:t>
      </w:r>
      <w:r w:rsidR="00B87890">
        <w:rPr>
          <w:rFonts w:ascii="Arial" w:hAnsi="Arial" w:cs="Arial"/>
          <w:sz w:val="24"/>
          <w:szCs w:val="24"/>
        </w:rPr>
        <w:t xml:space="preserve"> for whom support is to be paid</w:t>
      </w:r>
    </w:p>
    <w:p w14:paraId="2D3DD1EF" w14:textId="693FDB98" w:rsidR="008D4180" w:rsidRPr="00E06E1F" w:rsidRDefault="008D4180" w:rsidP="00973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 xml:space="preserve">Child (ren)’s </w:t>
      </w:r>
      <w:r w:rsidR="00DA375D">
        <w:rPr>
          <w:rFonts w:ascii="Arial" w:hAnsi="Arial" w:cs="Arial"/>
          <w:sz w:val="24"/>
          <w:szCs w:val="24"/>
        </w:rPr>
        <w:t xml:space="preserve">and/or Spouse’s </w:t>
      </w:r>
      <w:r w:rsidRPr="00E06E1F">
        <w:rPr>
          <w:rFonts w:ascii="Arial" w:hAnsi="Arial" w:cs="Arial"/>
          <w:sz w:val="24"/>
          <w:szCs w:val="24"/>
        </w:rPr>
        <w:t>birth date (Example: 09/04/</w:t>
      </w:r>
      <w:r w:rsidR="00E06E1F" w:rsidRPr="00E06E1F">
        <w:rPr>
          <w:rFonts w:ascii="Arial" w:hAnsi="Arial" w:cs="Arial"/>
          <w:sz w:val="24"/>
          <w:szCs w:val="24"/>
        </w:rPr>
        <w:t>21</w:t>
      </w:r>
      <w:r w:rsidRPr="00E06E1F">
        <w:rPr>
          <w:rFonts w:ascii="Arial" w:hAnsi="Arial" w:cs="Arial"/>
          <w:sz w:val="24"/>
          <w:szCs w:val="24"/>
        </w:rPr>
        <w:t>)</w:t>
      </w:r>
    </w:p>
    <w:p w14:paraId="4DDFC789" w14:textId="5E6ED565" w:rsidR="008D4180" w:rsidRPr="00E06E1F" w:rsidRDefault="008D4180" w:rsidP="008D4180">
      <w:pPr>
        <w:rPr>
          <w:rFonts w:ascii="Arial" w:hAnsi="Arial" w:cs="Arial"/>
          <w:sz w:val="24"/>
          <w:szCs w:val="24"/>
        </w:rPr>
      </w:pPr>
    </w:p>
    <w:p w14:paraId="5CFD6BB1" w14:textId="080AD4F2" w:rsidR="008D4180" w:rsidRPr="00E06E1F" w:rsidRDefault="008D4180" w:rsidP="008D4180">
      <w:p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Page 2</w:t>
      </w:r>
    </w:p>
    <w:p w14:paraId="22980668" w14:textId="033A7035" w:rsidR="008D4180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</w:t>
      </w:r>
      <w:r w:rsidR="00C21421">
        <w:rPr>
          <w:rFonts w:ascii="Arial" w:hAnsi="Arial" w:cs="Arial"/>
          <w:sz w:val="24"/>
          <w:szCs w:val="24"/>
        </w:rPr>
        <w:t>laintiff</w:t>
      </w:r>
      <w:r w:rsidR="00F44184">
        <w:rPr>
          <w:rFonts w:ascii="Arial" w:hAnsi="Arial" w:cs="Arial"/>
          <w:sz w:val="24"/>
          <w:szCs w:val="24"/>
        </w:rPr>
        <w:t>’s last name</w:t>
      </w:r>
      <w:r w:rsidRPr="00E06E1F">
        <w:rPr>
          <w:rFonts w:ascii="Arial" w:hAnsi="Arial" w:cs="Arial"/>
          <w:sz w:val="24"/>
          <w:szCs w:val="24"/>
        </w:rPr>
        <w:t xml:space="preserve"> (Example: Brown v. Powell)</w:t>
      </w:r>
    </w:p>
    <w:p w14:paraId="40A36F52" w14:textId="73DB631F" w:rsidR="00F44184" w:rsidRPr="00E06E1F" w:rsidRDefault="00F44184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Defendant’s last name </w:t>
      </w:r>
      <w:r w:rsidRPr="00E06E1F">
        <w:rPr>
          <w:rFonts w:ascii="Arial" w:hAnsi="Arial" w:cs="Arial"/>
          <w:sz w:val="24"/>
          <w:szCs w:val="24"/>
        </w:rPr>
        <w:t>(Example: Brown v. Powell)</w:t>
      </w:r>
    </w:p>
    <w:p w14:paraId="0E967514" w14:textId="3B2CB132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PACSES Number (Can be found on first page)</w:t>
      </w:r>
    </w:p>
    <w:p w14:paraId="59E4595F" w14:textId="093E7B18" w:rsidR="008D4180" w:rsidRPr="00E06E1F" w:rsidRDefault="008D4180" w:rsidP="00E06E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Total amount defendant owes monthly Annualized Periodic Amount + monthly arrears payment (Example: $230.00)</w:t>
      </w:r>
    </w:p>
    <w:p w14:paraId="3C89891E" w14:textId="14AF7DFC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Annualized Periodic Amount – monthly support payment (Example: $200.00)</w:t>
      </w:r>
    </w:p>
    <w:p w14:paraId="2B80DDDA" w14:textId="715AF73A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lastRenderedPageBreak/>
        <w:t xml:space="preserve">Monthly Arrears Payment </w:t>
      </w:r>
      <w:r w:rsidR="00E06E1F" w:rsidRPr="00E06E1F">
        <w:rPr>
          <w:rFonts w:ascii="Arial" w:hAnsi="Arial" w:cs="Arial"/>
          <w:sz w:val="24"/>
          <w:szCs w:val="24"/>
        </w:rPr>
        <w:t>= the arrears payment must be at least 10% of the Annualized Periodic Amount</w:t>
      </w:r>
    </w:p>
    <w:p w14:paraId="65286BA9" w14:textId="7AD2B116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Defendant’s agreed upon percentage of unreimbursed medical expenses (Example: 50%)</w:t>
      </w:r>
    </w:p>
    <w:p w14:paraId="7FE0A0C2" w14:textId="4CAF78B9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Plaintiff’s agreed upon percentage of unreimbursed medical expenses (Example: 50%)</w:t>
      </w:r>
    </w:p>
    <w:p w14:paraId="02B7395D" w14:textId="0C3D25B7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Mark an “X” in the box of the party providing medical coverage (</w:t>
      </w:r>
      <w:r w:rsidRPr="00E06E1F">
        <w:rPr>
          <w:rFonts w:ascii="Arial" w:hAnsi="Arial" w:cs="Arial"/>
          <w:i/>
          <w:iCs/>
          <w:sz w:val="24"/>
          <w:szCs w:val="24"/>
        </w:rPr>
        <w:t xml:space="preserve">In the event that neither party has health care coverage, health care coverage </w:t>
      </w:r>
      <w:r w:rsidR="009963B9">
        <w:rPr>
          <w:rFonts w:ascii="Arial" w:hAnsi="Arial" w:cs="Arial"/>
          <w:i/>
          <w:iCs/>
          <w:sz w:val="24"/>
          <w:szCs w:val="24"/>
        </w:rPr>
        <w:t xml:space="preserve">is not </w:t>
      </w:r>
      <w:r w:rsidRPr="00E06E1F">
        <w:rPr>
          <w:rFonts w:ascii="Arial" w:hAnsi="Arial" w:cs="Arial"/>
          <w:i/>
          <w:iCs/>
          <w:sz w:val="24"/>
          <w:szCs w:val="24"/>
        </w:rPr>
        <w:t>available at reasonable cost, the plaintiff has medical assistance or plaintiff has no cost CHIP</w:t>
      </w:r>
      <w:r w:rsidR="009963B9">
        <w:rPr>
          <w:rFonts w:ascii="Arial" w:hAnsi="Arial" w:cs="Arial"/>
          <w:i/>
          <w:iCs/>
          <w:sz w:val="24"/>
          <w:szCs w:val="24"/>
        </w:rPr>
        <w:t>,</w:t>
      </w:r>
      <w:r w:rsidRPr="00E06E1F">
        <w:rPr>
          <w:rFonts w:ascii="Arial" w:hAnsi="Arial" w:cs="Arial"/>
          <w:i/>
          <w:iCs/>
          <w:sz w:val="24"/>
          <w:szCs w:val="24"/>
        </w:rPr>
        <w:t xml:space="preserve"> the box </w:t>
      </w:r>
      <w:r w:rsidR="009963B9">
        <w:rPr>
          <w:rFonts w:ascii="Arial" w:hAnsi="Arial" w:cs="Arial"/>
          <w:i/>
          <w:iCs/>
          <w:sz w:val="24"/>
          <w:szCs w:val="24"/>
        </w:rPr>
        <w:t>Both parties are ordered to provide medical coverage if available at a reasonable cost must be checked.)</w:t>
      </w:r>
    </w:p>
    <w:p w14:paraId="209E1917" w14:textId="119C4D66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Mark an “X” in the box of the party providing medical coverage (</w:t>
      </w:r>
      <w:r w:rsidRPr="00E06E1F">
        <w:rPr>
          <w:rFonts w:ascii="Arial" w:hAnsi="Arial" w:cs="Arial"/>
          <w:i/>
          <w:iCs/>
          <w:sz w:val="24"/>
          <w:szCs w:val="24"/>
        </w:rPr>
        <w:t>A legible copy of both sides of the insurance card(s) must be provided with the proposed Consent Order of Court)</w:t>
      </w:r>
    </w:p>
    <w:p w14:paraId="34520DCF" w14:textId="153DB493" w:rsidR="008D4180" w:rsidRPr="00E06E1F" w:rsidRDefault="008D4180" w:rsidP="008D4180">
      <w:pPr>
        <w:ind w:left="360"/>
        <w:rPr>
          <w:rFonts w:ascii="Arial" w:hAnsi="Arial" w:cs="Arial"/>
          <w:sz w:val="24"/>
          <w:szCs w:val="24"/>
        </w:rPr>
      </w:pPr>
    </w:p>
    <w:p w14:paraId="5C22B2A8" w14:textId="5BD395F2" w:rsidR="008D4180" w:rsidRPr="00E06E1F" w:rsidRDefault="008D4180" w:rsidP="00E06E1F">
      <w:pPr>
        <w:ind w:left="360"/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Page 3</w:t>
      </w:r>
    </w:p>
    <w:p w14:paraId="2AC82FCD" w14:textId="2003F1E4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Other Conditions = (The particulars of the part</w:t>
      </w:r>
      <w:r w:rsidR="00E06E1F" w:rsidRPr="00E06E1F">
        <w:rPr>
          <w:rFonts w:ascii="Arial" w:hAnsi="Arial" w:cs="Arial"/>
          <w:sz w:val="24"/>
          <w:szCs w:val="24"/>
        </w:rPr>
        <w:t>ies’</w:t>
      </w:r>
      <w:r w:rsidRPr="00E06E1F">
        <w:rPr>
          <w:rFonts w:ascii="Arial" w:hAnsi="Arial" w:cs="Arial"/>
          <w:sz w:val="24"/>
          <w:szCs w:val="24"/>
        </w:rPr>
        <w:t xml:space="preserve"> agreement)</w:t>
      </w:r>
    </w:p>
    <w:p w14:paraId="085EAB67" w14:textId="24A53625" w:rsidR="008D4180" w:rsidRPr="00E06E1F" w:rsidRDefault="008D418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Leave blank (Fee portion is non collectable by the court)</w:t>
      </w:r>
    </w:p>
    <w:p w14:paraId="711AE3F5" w14:textId="46A719B7" w:rsidR="008D4180" w:rsidRPr="00E06E1F" w:rsidRDefault="008D4180" w:rsidP="008D4180">
      <w:pPr>
        <w:ind w:left="360"/>
        <w:rPr>
          <w:rFonts w:ascii="Arial" w:hAnsi="Arial" w:cs="Arial"/>
          <w:sz w:val="24"/>
          <w:szCs w:val="24"/>
        </w:rPr>
      </w:pPr>
    </w:p>
    <w:p w14:paraId="13925075" w14:textId="6641E727" w:rsidR="008D4180" w:rsidRPr="00E06E1F" w:rsidRDefault="008D4180" w:rsidP="008D4180">
      <w:pPr>
        <w:ind w:left="360"/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Page 4</w:t>
      </w:r>
    </w:p>
    <w:p w14:paraId="094DA434" w14:textId="3EBD69CC" w:rsidR="008D4180" w:rsidRPr="00E06E1F" w:rsidRDefault="009963B9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Leave blank for Family Division to complete</w:t>
      </w:r>
    </w:p>
    <w:p w14:paraId="7EC24673" w14:textId="3403D297" w:rsidR="00341B50" w:rsidRPr="00E06E1F" w:rsidRDefault="00341B50" w:rsidP="008D41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Plaintiff’s signature</w:t>
      </w:r>
    </w:p>
    <w:p w14:paraId="787E90EB" w14:textId="1BDEFA14" w:rsidR="00341B50" w:rsidRPr="00E06E1F" w:rsidRDefault="00341B50" w:rsidP="00341B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Plaintiff’s counsel’s signature</w:t>
      </w:r>
    </w:p>
    <w:p w14:paraId="542C960D" w14:textId="01DBCD3A" w:rsidR="00341B50" w:rsidRPr="00E06E1F" w:rsidRDefault="00341B50" w:rsidP="00341B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Defendant’s signature</w:t>
      </w:r>
    </w:p>
    <w:p w14:paraId="685CEB2E" w14:textId="13603F3F" w:rsidR="00341B50" w:rsidRPr="00E06E1F" w:rsidRDefault="00341B50" w:rsidP="00341B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6E1F">
        <w:rPr>
          <w:rFonts w:ascii="Arial" w:hAnsi="Arial" w:cs="Arial"/>
          <w:sz w:val="24"/>
          <w:szCs w:val="24"/>
        </w:rPr>
        <w:t>Defendant’s counsel’s signature</w:t>
      </w:r>
    </w:p>
    <w:p w14:paraId="6E671765" w14:textId="7C87F161" w:rsidR="00341B50" w:rsidRPr="00E06E1F" w:rsidRDefault="00341B50" w:rsidP="00341B50">
      <w:pPr>
        <w:ind w:left="360"/>
        <w:rPr>
          <w:rFonts w:ascii="Arial" w:hAnsi="Arial" w:cs="Arial"/>
          <w:sz w:val="24"/>
          <w:szCs w:val="24"/>
        </w:rPr>
      </w:pPr>
    </w:p>
    <w:p w14:paraId="06440895" w14:textId="469356ED" w:rsidR="00341B50" w:rsidRPr="00E06E1F" w:rsidRDefault="00341B50" w:rsidP="00341B50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E06E1F">
        <w:rPr>
          <w:rFonts w:ascii="Arial" w:hAnsi="Arial" w:cs="Arial"/>
          <w:b/>
          <w:bCs/>
          <w:sz w:val="28"/>
          <w:szCs w:val="28"/>
        </w:rPr>
        <w:t xml:space="preserve">PARTIES </w:t>
      </w:r>
      <w:r w:rsidRPr="00E06E1F">
        <w:rPr>
          <w:rFonts w:ascii="Arial" w:hAnsi="Arial" w:cs="Arial"/>
          <w:b/>
          <w:bCs/>
          <w:sz w:val="28"/>
          <w:szCs w:val="28"/>
          <w:u w:val="single"/>
        </w:rPr>
        <w:t>MUST</w:t>
      </w:r>
      <w:r w:rsidRPr="00E06E1F">
        <w:rPr>
          <w:rFonts w:ascii="Arial" w:hAnsi="Arial" w:cs="Arial"/>
          <w:b/>
          <w:bCs/>
          <w:sz w:val="28"/>
          <w:szCs w:val="28"/>
        </w:rPr>
        <w:t xml:space="preserve"> INCLUDE A COVER SHEET WITH THE NAME OF EACH PARTY’S ATTORNEY AND ADDRESS AND A LEGIBLE COPY OF BOTH SIDES OF THE INSURANCE CARDS</w:t>
      </w:r>
    </w:p>
    <w:sectPr w:rsidR="00341B50" w:rsidRPr="00E0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6C72"/>
    <w:multiLevelType w:val="hybridMultilevel"/>
    <w:tmpl w:val="7AEAC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3176"/>
    <w:multiLevelType w:val="hybridMultilevel"/>
    <w:tmpl w:val="7B26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1C"/>
    <w:rsid w:val="001A15F7"/>
    <w:rsid w:val="00341B50"/>
    <w:rsid w:val="008D4180"/>
    <w:rsid w:val="00973A1C"/>
    <w:rsid w:val="009963B9"/>
    <w:rsid w:val="00B87890"/>
    <w:rsid w:val="00C21421"/>
    <w:rsid w:val="00C957EB"/>
    <w:rsid w:val="00DA375D"/>
    <w:rsid w:val="00E06E1F"/>
    <w:rsid w:val="00F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9073"/>
  <w15:chartTrackingRefBased/>
  <w15:docId w15:val="{9A3B03AA-2E2A-4539-998E-5338473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Boling, Monique</dc:creator>
  <cp:keywords/>
  <dc:description/>
  <cp:lastModifiedBy>Jackson, Rebekah</cp:lastModifiedBy>
  <cp:revision>6</cp:revision>
  <dcterms:created xsi:type="dcterms:W3CDTF">2024-11-01T18:21:00Z</dcterms:created>
  <dcterms:modified xsi:type="dcterms:W3CDTF">2024-12-03T13:34:00Z</dcterms:modified>
</cp:coreProperties>
</file>